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0" w:before="0"/>
        <w:jc w:val="center"/>
      </w:pPr>
      <w:r>
        <w:rPr>
          <w:rFonts w:ascii="Times New Roman" w:hAnsi="Times New Roman" w:cs="Times New Roman" w:eastAsia="Times New Roman"/>
          <w:sz w:val="22"/>
          <w:u w:val="none"/>
          <w:b w:val="on"/>
          <w:i w:val="off"/>
          <w:strike w:val="off"/>
        </w:rPr>
        <w:t>ПЛАН ЗАКУПКИ ТОВАРОВ (РАБОТ, УСЛУГ)</w:t>
      </w:r>
    </w:p>
    <w:p>
      <w:pPr>
        <w:spacing w:after="0" w:before="0"/>
        <w:jc w:val="center"/>
      </w:pPr>
      <w:r>
        <w:rPr>
          <w:rFonts w:ascii="Times New Roman" w:hAnsi="Times New Roman" w:cs="Times New Roman" w:eastAsia="Times New Roman"/>
          <w:sz w:val="22"/>
          <w:u w:val="none"/>
          <w:b w:val="off"/>
          <w:i w:val="off"/>
          <w:strike w:val="off"/>
        </w:rPr>
        <w:t>на 2025 год (на период с 01.01.2025 по 31.12.2025)</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jc w:val="left"/>
            </w:pPr>
            <w:r>
              <w:rPr>
                <w:rFonts w:ascii="Times New Roman" w:hAnsi="Times New Roman" w:cs="Times New Roman" w:eastAsia="Times New Roman"/>
                <w:sz w:val="22"/>
                <w:u w:val="none"/>
                <w:b w:val="off"/>
                <w:i w:val="off"/>
                <w:strike w:val="off"/>
              </w:rPr>
              <w:t>Наименование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Пермское краевое государственное унитарное предприятие "Северные краевые электрические сети"</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Адрес местонахождения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618548, Пермский край, г Соликамск, ул Черняховского, 10</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Телефон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83425322801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Электронная почта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infoskes@permsky.permkrai.ru</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ИНН</w:t>
            </w:r>
          </w:p>
        </w:tc>
        <w:tc>
          <w:tcPr>
            <w:vAlign w:val="center"/>
          </w:tcPr>
          <w:p>
            <w:pPr>
              <w:spacing w:after="0" w:before="0"/>
              <w:jc w:val="left"/>
            </w:pPr>
            <w:r>
              <w:rPr>
                <w:rFonts w:ascii="Times New Roman" w:hAnsi="Times New Roman" w:cs="Times New Roman" w:eastAsia="Times New Roman"/>
                <w:sz w:val="22"/>
                <w:u w:val="none"/>
                <w:b w:val="off"/>
                <w:i w:val="off"/>
                <w:strike w:val="off"/>
              </w:rPr>
              <w:t>5919430249</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КПП</w:t>
            </w:r>
          </w:p>
        </w:tc>
        <w:tc>
          <w:tcPr>
            <w:vAlign w:val="center"/>
          </w:tcPr>
          <w:p>
            <w:pPr>
              <w:spacing w:after="0" w:before="0"/>
              <w:jc w:val="left"/>
            </w:pPr>
            <w:r>
              <w:rPr>
                <w:rFonts w:ascii="Times New Roman" w:hAnsi="Times New Roman" w:cs="Times New Roman" w:eastAsia="Times New Roman"/>
                <w:sz w:val="22"/>
                <w:u w:val="none"/>
                <w:b w:val="off"/>
                <w:i w:val="off"/>
                <w:strike w:val="off"/>
              </w:rPr>
              <w:t>591901001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ОКАТО</w:t>
            </w:r>
          </w:p>
        </w:tc>
        <w:tc>
          <w:tcPr>
            <w:vAlign w:val="center"/>
          </w:tcPr>
          <w:p>
            <w:pPr>
              <w:spacing w:after="0" w:before="0"/>
              <w:jc w:val="left"/>
            </w:pPr>
            <w:r>
              <w:rPr>
                <w:rFonts w:ascii="Times New Roman" w:hAnsi="Times New Roman" w:cs="Times New Roman" w:eastAsia="Times New Roman"/>
                <w:sz w:val="22"/>
                <w:u w:val="none"/>
                <w:b w:val="off"/>
                <w:i w:val="off"/>
                <w:strike w:val="off"/>
              </w:rPr>
              <w:t>57430000</w:t>
            </w:r>
          </w:p>
        </w:tc>
      </w:tr>
    </w:tbl>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p/>
        </w:tc>
        <w:tc>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- 100 000,00</w:t>
              <w:br/>
            </w:r>
            <w:r>
              <w:rPr>
                <w:rFonts w:ascii="Times New Roman" w:hAnsi="Times New Roman" w:cs="Times New Roman" w:eastAsia="Times New Roman"/>
                <w:sz w:val="16"/>
                <w:u w:val="none"/>
                <w:b w:val="off"/>
                <w:i w:val="off"/>
                <w:strike w:val="off"/>
              </w:rPr>
              <w:t>2025 г. - 500 000,00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19.20.21.345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экземпляров Систем Консультант Плюс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договором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236 157,84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- 39 359,64</w:t>
              <w:br/>
            </w:r>
            <w:r>
              <w:rPr>
                <w:rFonts w:ascii="Times New Roman" w:hAnsi="Times New Roman" w:cs="Times New Roman" w:eastAsia="Times New Roman"/>
                <w:sz w:val="16"/>
                <w:u w:val="none"/>
                <w:b w:val="off"/>
                <w:i w:val="off"/>
                <w:strike w:val="off"/>
              </w:rPr>
              <w:t>2025 г. - 196 798,20</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оказание услуг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41.20</w:t>
            </w:r>
          </w:p>
        </w:tc>
        <w:tc>
          <w:tcPr>
            <w:vAlign w:val="center"/>
          </w:tcPr>
          <w:p>
            <w:pPr>
              <w:spacing w:after="0" w:before="0"/>
              <w:jc w:val="left"/>
            </w:pPr>
            <w:r>
              <w:rPr>
                <w:rFonts w:ascii="Times New Roman" w:hAnsi="Times New Roman" w:cs="Times New Roman" w:eastAsia="Times New Roman"/>
                <w:sz w:val="16"/>
                <w:u w:val="none"/>
                <w:b w:val="off"/>
                <w:i w:val="off"/>
                <w:strike w:val="off"/>
              </w:rPr>
              <w:t>41.20.30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68.32</w:t>
            </w:r>
          </w:p>
        </w:tc>
        <w:tc>
          <w:tcPr>
            <w:vAlign w:val="center"/>
          </w:tcPr>
          <w:p>
            <w:pPr>
              <w:spacing w:after="0" w:before="0"/>
              <w:jc w:val="left"/>
            </w:pPr>
            <w:r>
              <w:rPr>
                <w:rFonts w:ascii="Times New Roman" w:hAnsi="Times New Roman" w:cs="Times New Roman" w:eastAsia="Times New Roman"/>
                <w:sz w:val="16"/>
                <w:u w:val="none"/>
                <w:b w:val="off"/>
                <w:i w:val="off"/>
                <w:strike w:val="off"/>
              </w:rPr>
              <w:t>68.32.1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61.10</w:t>
            </w:r>
          </w:p>
        </w:tc>
        <w:tc>
          <w:tcPr>
            <w:vAlign w:val="center"/>
          </w:tcPr>
          <w:p>
            <w:pPr>
              <w:spacing w:after="0" w:before="0"/>
              <w:jc w:val="left"/>
            </w:pPr>
            <w:r>
              <w:rPr>
                <w:rFonts w:ascii="Times New Roman" w:hAnsi="Times New Roman" w:cs="Times New Roman" w:eastAsia="Times New Roman"/>
                <w:sz w:val="16"/>
                <w:u w:val="none"/>
                <w:b w:val="off"/>
                <w:i w:val="off"/>
                <w:strike w:val="off"/>
              </w:rPr>
              <w:t>61.10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84.12</w:t>
            </w:r>
          </w:p>
        </w:tc>
        <w:tc>
          <w:tcPr>
            <w:vAlign w:val="center"/>
          </w:tcPr>
          <w:p>
            <w:pPr>
              <w:spacing w:after="0" w:before="0"/>
              <w:jc w:val="left"/>
            </w:pPr>
            <w:r>
              <w:rPr>
                <w:rFonts w:ascii="Times New Roman" w:hAnsi="Times New Roman" w:cs="Times New Roman" w:eastAsia="Times New Roman"/>
                <w:sz w:val="16"/>
                <w:u w:val="none"/>
                <w:b w:val="off"/>
                <w:i w:val="off"/>
                <w:strike w:val="off"/>
              </w:rPr>
              <w:t>84.12.13.000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80.30</w:t>
            </w:r>
          </w:p>
        </w:tc>
        <w:tc>
          <w:tcPr>
            <w:vAlign w:val="center"/>
          </w:tcPr>
          <w:p>
            <w:pPr>
              <w:spacing w:after="0" w:before="0"/>
              <w:jc w:val="left"/>
            </w:pPr>
            <w:r>
              <w:rPr>
                <w:rFonts w:ascii="Times New Roman" w:hAnsi="Times New Roman" w:cs="Times New Roman" w:eastAsia="Times New Roman"/>
                <w:sz w:val="16"/>
                <w:u w:val="none"/>
                <w:b w:val="off"/>
                <w:i w:val="off"/>
                <w:strike w:val="off"/>
              </w:rPr>
              <w:t>80.30.1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71.12.2</w:t>
            </w:r>
          </w:p>
        </w:tc>
        <w:tc>
          <w:tcPr>
            <w:vAlign w:val="center"/>
          </w:tcPr>
          <w:p>
            <w:pPr>
              <w:spacing w:after="0" w:before="0"/>
              <w:jc w:val="left"/>
            </w:pPr>
            <w:r>
              <w:rPr>
                <w:rFonts w:ascii="Times New Roman" w:hAnsi="Times New Roman" w:cs="Times New Roman" w:eastAsia="Times New Roman"/>
                <w:sz w:val="16"/>
                <w:u w:val="none"/>
                <w:b w:val="off"/>
                <w:i w:val="off"/>
                <w:strike w:val="off"/>
              </w:rPr>
              <w:t>71.12.20.190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62.02</w:t>
            </w:r>
          </w:p>
        </w:tc>
        <w:tc>
          <w:tcPr>
            <w:vAlign w:val="center"/>
          </w:tcPr>
          <w:p>
            <w:pPr>
              <w:spacing w:after="0" w:before="0"/>
              <w:jc w:val="left"/>
            </w:pPr>
            <w:r>
              <w:rPr>
                <w:rFonts w:ascii="Times New Roman" w:hAnsi="Times New Roman" w:cs="Times New Roman" w:eastAsia="Times New Roman"/>
                <w:sz w:val="16"/>
                <w:u w:val="none"/>
                <w:b w:val="off"/>
                <w:i w:val="off"/>
                <w:strike w:val="off"/>
              </w:rPr>
              <w:t>62.02.30.000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предохранителей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105 510,00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- 52 755,00</w:t>
              <w:br/>
            </w:r>
            <w:r>
              <w:rPr>
                <w:rFonts w:ascii="Times New Roman" w:hAnsi="Times New Roman" w:cs="Times New Roman" w:eastAsia="Times New Roman"/>
                <w:sz w:val="16"/>
                <w:u w:val="none"/>
                <w:b w:val="off"/>
                <w:i w:val="off"/>
                <w:strike w:val="off"/>
              </w:rPr>
              <w:t>2025 г. - 52 755,00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w:t>
            </w:r>
          </w:p>
        </w:tc>
        <w:tc>
          <w:tcPr>
            <w:vAlign w:val="center"/>
          </w:tcPr>
          <w:p>
            <w:pPr>
              <w:spacing w:after="0" w:before="0"/>
              <w:jc w:val="left"/>
            </w:pPr>
            <w:r>
              <w:rPr>
                <w:rFonts w:ascii="Times New Roman" w:hAnsi="Times New Roman" w:cs="Times New Roman" w:eastAsia="Times New Roman"/>
                <w:sz w:val="16"/>
                <w:u w:val="none"/>
                <w:b w:val="off"/>
                <w:i w:val="off"/>
                <w:strike w:val="off"/>
              </w:rPr>
              <w:t>64.19</w:t>
            </w:r>
          </w:p>
        </w:tc>
        <w:tc>
          <w:tcPr>
            <w:vAlign w:val="center"/>
          </w:tcPr>
          <w:p>
            <w:pPr>
              <w:spacing w:after="0" w:before="0"/>
              <w:jc w:val="left"/>
            </w:pPr>
            <w:r>
              <w:rPr>
                <w:rFonts w:ascii="Times New Roman" w:hAnsi="Times New Roman" w:cs="Times New Roman" w:eastAsia="Times New Roman"/>
                <w:sz w:val="16"/>
                <w:u w:val="none"/>
                <w:b w:val="off"/>
                <w:i w:val="off"/>
                <w:strike w:val="off"/>
              </w:rPr>
              <w:t>64.19.21.000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финансовых услуг по предоставлению кредита в виде невозобновляемой кредитной линии в размере 30 000 000,00 (тридцати миллионов) рублей сроком на 60 месяцев для покрытия расходов, связанных с текущей хозяйственной деятельностью предприятия, под залог имущества, принадлежащего ПКГУП «СКЭС» на праве хозяйственного ведения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30 000 000,00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- 11 666 666,69</w:t>
              <w:br/>
            </w:r>
            <w:r>
              <w:rPr>
                <w:rFonts w:ascii="Times New Roman" w:hAnsi="Times New Roman" w:cs="Times New Roman" w:eastAsia="Times New Roman"/>
                <w:sz w:val="16"/>
                <w:u w:val="none"/>
                <w:b w:val="off"/>
                <w:i w:val="off"/>
                <w:strike w:val="off"/>
              </w:rPr>
              <w:t>2026 г. - 18 333 333,31</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1 740 573,62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УАЗ Р 505 МТ 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16,55</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238 859,61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- 65 651,61</w:t>
              <w:br/>
            </w:r>
            <w:r>
              <w:rPr>
                <w:rFonts w:ascii="Times New Roman" w:hAnsi="Times New Roman" w:cs="Times New Roman" w:eastAsia="Times New Roman"/>
                <w:sz w:val="16"/>
                <w:u w:val="none"/>
                <w:b w:val="off"/>
                <w:i w:val="off"/>
                <w:strike w:val="off"/>
              </w:rPr>
              <w:t>2025 г. - 173 208,00</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нежилых помещений</w:t>
            </w:r>
          </w:p>
        </w:tc>
        <w:tc>
          <w:tcPr>
            <w:vAlign w:val="center"/>
          </w:tcPr>
          <w:p>
            <w:pPr>
              <w:spacing w:after="0" w:before="0"/>
              <w:jc w:val="left"/>
            </w:pPr>
            <w:r>
              <w:rPr>
                <w:rFonts w:ascii="Times New Roman" w:hAnsi="Times New Roman" w:cs="Times New Roman" w:eastAsia="Times New Roman"/>
                <w:sz w:val="16"/>
                <w:u w:val="none"/>
                <w:b w:val="off"/>
                <w:i w:val="off"/>
                <w:strike w:val="off"/>
              </w:rPr>
              <w:t>Нежилые помещения на первом и втором этажах административно-бытового корпуса общей площадью 664,2 кв.м., нежилые помещения - гаражи площадью 46,5 кв.м, 46,7 кв.м., 65,9 кв.м., 67,8 кв.м.</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11 340 734,40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- 2 079 134,64</w:t>
              <w:br/>
            </w:r>
            <w:r>
              <w:rPr>
                <w:rFonts w:ascii="Times New Roman" w:hAnsi="Times New Roman" w:cs="Times New Roman" w:eastAsia="Times New Roman"/>
                <w:sz w:val="16"/>
                <w:u w:val="none"/>
                <w:b w:val="off"/>
                <w:i w:val="off"/>
                <w:strike w:val="off"/>
              </w:rPr>
              <w:t>2025 г. - 2 268 146,88</w:t>
              <w:br/>
            </w:r>
            <w:r>
              <w:rPr>
                <w:rFonts w:ascii="Times New Roman" w:hAnsi="Times New Roman" w:cs="Times New Roman" w:eastAsia="Times New Roman"/>
                <w:sz w:val="16"/>
                <w:u w:val="none"/>
                <w:b w:val="off"/>
                <w:i w:val="off"/>
                <w:strike w:val="off"/>
              </w:rPr>
              <w:t>2026 г. - 2 268 146,88</w:t>
              <w:br/>
            </w:r>
            <w:r>
              <w:rPr>
                <w:rFonts w:ascii="Times New Roman" w:hAnsi="Times New Roman" w:cs="Times New Roman" w:eastAsia="Times New Roman"/>
                <w:sz w:val="16"/>
                <w:u w:val="none"/>
                <w:b w:val="off"/>
                <w:i w:val="off"/>
                <w:strike w:val="off"/>
              </w:rPr>
              <w:t>2027 г. - 2 268 146,88</w:t>
              <w:br/>
            </w:r>
            <w:r>
              <w:rPr>
                <w:rFonts w:ascii="Times New Roman" w:hAnsi="Times New Roman" w:cs="Times New Roman" w:eastAsia="Times New Roman"/>
                <w:sz w:val="16"/>
                <w:u w:val="none"/>
                <w:b w:val="off"/>
                <w:i w:val="off"/>
                <w:strike w:val="off"/>
              </w:rPr>
              <w:t>2028 г. - 2 268 146,88</w:t>
              <w:br/>
            </w:r>
            <w:r>
              <w:rPr>
                <w:rFonts w:ascii="Times New Roman" w:hAnsi="Times New Roman" w:cs="Times New Roman" w:eastAsia="Times New Roman"/>
                <w:sz w:val="16"/>
                <w:u w:val="none"/>
                <w:b w:val="off"/>
                <w:i w:val="off"/>
                <w:strike w:val="off"/>
              </w:rPr>
              <w:t>2029 г. - 189 012,24</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01.2029</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Сандраков А.П. (кадастровый номер з/у 59:10:0405004:18), г. Соликамск, ул. 20 лет Победы, 6/4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152 342,70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- 152 342,70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ИП Колмогорцев А.А., инв № ЗД000086, г. Соликамск, ул. Правды, 27а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289 973,88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- 289 973,88</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15</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19.20.21.315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1 645 540,33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изделий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3 736 919,87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- 3 736 919,87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товаров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17.12</w:t>
            </w:r>
          </w:p>
        </w:tc>
        <w:tc>
          <w:tcPr>
            <w:vAlign w:val="center"/>
          </w:tcPr>
          <w:p>
            <w:pPr>
              <w:spacing w:after="0" w:before="0"/>
              <w:jc w:val="left"/>
            </w:pPr>
            <w:r>
              <w:rPr>
                <w:rFonts w:ascii="Times New Roman" w:hAnsi="Times New Roman" w:cs="Times New Roman" w:eastAsia="Times New Roman"/>
                <w:sz w:val="16"/>
                <w:u w:val="none"/>
                <w:b w:val="off"/>
                <w:i w:val="off"/>
                <w:strike w:val="off"/>
              </w:rPr>
              <w:t>17.12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19</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4 404 102,36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0,48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0,84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4 680,00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0,68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2,99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0,55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w:t>
            </w: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тепловой энергии в горячей воде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дистанционных дисплеев (пультов) для приборов учета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26</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обуви и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616 384,32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30</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4 048 050,10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31</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Лада Гранта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144 000,00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960 000,00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- 240 000,00</w:t>
              <w:br/>
            </w:r>
            <w:r>
              <w:rPr>
                <w:rFonts w:ascii="Times New Roman" w:hAnsi="Times New Roman" w:cs="Times New Roman" w:eastAsia="Times New Roman"/>
                <w:sz w:val="16"/>
                <w:u w:val="none"/>
                <w:b w:val="off"/>
                <w:i w:val="off"/>
                <w:strike w:val="off"/>
              </w:rPr>
              <w:t>2026 г. - 720 000,00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33</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УАЗ</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35</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7 000,00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36</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210 000,00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37</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6 900,00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345 000,00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38</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3 600,00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39</w:t>
            </w:r>
          </w:p>
        </w:tc>
        <w:tc>
          <w:tcPr>
            <w:vAlign w:val="center"/>
          </w:tcPr>
          <w:p>
            <w:pPr>
              <w:spacing w:after="0" w:before="0"/>
              <w:jc w:val="left"/>
            </w:pPr>
            <w:r>
              <w:rPr>
                <w:rFonts w:ascii="Times New Roman" w:hAnsi="Times New Roman" w:cs="Times New Roman" w:eastAsia="Times New Roman"/>
                <w:sz w:val="16"/>
                <w:u w:val="none"/>
                <w:b w:val="off"/>
                <w:i w:val="off"/>
                <w:strike w:val="off"/>
              </w:rPr>
              <w:t>45.20.2</w:t>
            </w:r>
          </w:p>
        </w:tc>
        <w:tc>
          <w:tcPr>
            <w:vAlign w:val="center"/>
          </w:tcPr>
          <w:p>
            <w:pPr>
              <w:spacing w:after="0" w:before="0"/>
              <w:jc w:val="left"/>
            </w:pPr>
            <w:r>
              <w:rPr>
                <w:rFonts w:ascii="Times New Roman" w:hAnsi="Times New Roman" w:cs="Times New Roman" w:eastAsia="Times New Roman"/>
                <w:sz w:val="16"/>
                <w:u w:val="none"/>
                <w:b w:val="off"/>
                <w:i w:val="off"/>
                <w:strike w:val="off"/>
              </w:rPr>
              <w:t>45.20.21.212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ремонтных работ в отношении транспортного средства  а/м ГАЗ 3308</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234 009,00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40</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отысканию мест повреждений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166 065,84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41</w:t>
            </w:r>
          </w:p>
        </w:tc>
        <w:tc>
          <w:tcPr>
            <w:vAlign w:val="center"/>
          </w:tcPr>
          <w:p>
            <w:pPr>
              <w:spacing w:after="0" w:before="0"/>
              <w:jc w:val="left"/>
            </w:pPr>
            <w:r>
              <w:rPr>
                <w:rFonts w:ascii="Times New Roman" w:hAnsi="Times New Roman" w:cs="Times New Roman" w:eastAsia="Times New Roman"/>
                <w:sz w:val="16"/>
                <w:u w:val="none"/>
                <w:b w:val="off"/>
                <w:i w:val="off"/>
                <w:strike w:val="off"/>
              </w:rPr>
              <w:t>26.30.29</w:t>
            </w:r>
          </w:p>
        </w:tc>
        <w:tc>
          <w:tcPr>
            <w:vAlign w:val="center"/>
          </w:tcPr>
          <w:p>
            <w:pPr>
              <w:spacing w:after="0" w:before="0"/>
              <w:jc w:val="left"/>
            </w:pPr>
            <w:r>
              <w:rPr>
                <w:rFonts w:ascii="Times New Roman" w:hAnsi="Times New Roman" w:cs="Times New Roman" w:eastAsia="Times New Roman"/>
                <w:sz w:val="16"/>
                <w:u w:val="none"/>
                <w:b w:val="off"/>
                <w:i w:val="off"/>
                <w:strike w:val="off"/>
              </w:rPr>
              <w:t>26.30.23.170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высоковольтных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2 950 200,00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Аренда передвижной генераторной установки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103 117,62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77.39</w:t>
            </w:r>
          </w:p>
        </w:tc>
        <w:tc>
          <w:tcPr>
            <w:vAlign w:val="center"/>
          </w:tcPr>
          <w:p>
            <w:pPr>
              <w:spacing w:after="0" w:before="0"/>
              <w:jc w:val="left"/>
            </w:pPr>
            <w:r>
              <w:rPr>
                <w:rFonts w:ascii="Times New Roman" w:hAnsi="Times New Roman" w:cs="Times New Roman" w:eastAsia="Times New Roman"/>
                <w:sz w:val="16"/>
                <w:u w:val="none"/>
                <w:b w:val="off"/>
                <w:i w:val="off"/>
                <w:strike w:val="off"/>
              </w:rPr>
              <w:t>77.39.19.129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359</w:t>
            </w:r>
          </w:p>
        </w:tc>
        <w:tc>
          <w:tcPr>
            <w:vAlign w:val="center"/>
          </w:tcPr>
          <w:p>
            <w:pPr>
              <w:spacing w:after="0" w:before="0"/>
              <w:jc w:val="left"/>
            </w:pPr>
            <w:r>
              <w:rPr>
                <w:rFonts w:ascii="Times New Roman" w:hAnsi="Times New Roman" w:cs="Times New Roman" w:eastAsia="Times New Roman"/>
                <w:sz w:val="16"/>
                <w:u w:val="none"/>
                <w:b w:val="off"/>
                <w:i w:val="off"/>
                <w:strike w:val="off"/>
              </w:rPr>
              <w:t>Сутки</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960,00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107 435,17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сушильных шкафов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262 358,00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845 031,00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128 566,67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электротехнической арматуры и материалов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876 096,52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1 382,00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2 013,00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2 050,00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22.21.30.110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плит ПЗК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228 866,00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49</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высоковольтного прибора учета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660 983,33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установки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1 264 831,20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гофрированных труб ПНД</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203 405,90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2 182 543,67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от ТП-204 для технологического присоединения энергопринимающих устройств заявителя Зайцева Г.А. в г. Губаха.  рп. Углеуральский, ул. Чернышевского 14, кадастровый номер: 59:05:0105008:779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313 062,77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179 491,09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ВЛ-6 кВ отпайка от опоры №13, протяженностью трассы – 0,018 км с монтажом КТП-160/6-0,4 с установкой 3-х фазного прибора учета полукосвенного включения для технологического присоединения энергопринимающих устройств потребителя ИП Пискунова Юлия Юрьевна, г. Соликамск, ул. Пермская, з/у 95, кадастровый номер 59:10:0000000:5480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1 380 216,08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проходных полимерных изоляторов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106 583,19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57</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4 754 800,80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4 924 366,50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энергопринимающих устройств потребителей (5 шт.)</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252 288,90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деталей узлов крепления опор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107 052,20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аварийно-восстановительных работ по восстановлению КЛ-10 кВ ТП-201-ТП-210, ввод № 1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179 328,97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24.10.4</w:t>
            </w:r>
          </w:p>
        </w:tc>
        <w:tc>
          <w:tcPr>
            <w:vAlign w:val="center"/>
          </w:tcPr>
          <w:p>
            <w:pPr>
              <w:spacing w:after="0" w:before="0"/>
              <w:jc w:val="left"/>
            </w:pPr>
            <w:r>
              <w:rPr>
                <w:rFonts w:ascii="Times New Roman" w:hAnsi="Times New Roman" w:cs="Times New Roman" w:eastAsia="Times New Roman"/>
                <w:sz w:val="16"/>
                <w:u w:val="none"/>
                <w:b w:val="off"/>
                <w:i w:val="off"/>
                <w:strike w:val="off"/>
              </w:rPr>
              <w:t>24.10.41.000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369 996,31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установке/замене однофазных, трехфазных приборов учета электроэнергии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1 094 671,80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64</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4 960 306,84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65</w:t>
            </w:r>
          </w:p>
        </w:tc>
        <w:tc>
          <w:tcPr>
            <w:vAlign w:val="center"/>
          </w:tcPr>
          <w:p>
            <w:pPr>
              <w:spacing w:after="0" w:before="0"/>
              <w:jc w:val="left"/>
            </w:pPr>
            <w:r>
              <w:rPr>
                <w:rFonts w:ascii="Times New Roman" w:hAnsi="Times New Roman" w:cs="Times New Roman" w:eastAsia="Times New Roman"/>
                <w:sz w:val="16"/>
                <w:u w:val="none"/>
                <w:b w:val="off"/>
                <w:i w:val="off"/>
                <w:strike w:val="off"/>
              </w:rPr>
              <w:t>69.20.1</w:t>
            </w:r>
          </w:p>
        </w:tc>
        <w:tc>
          <w:tcPr>
            <w:vAlign w:val="center"/>
          </w:tcPr>
          <w:p>
            <w:pPr>
              <w:spacing w:after="0" w:before="0"/>
              <w:jc w:val="left"/>
            </w:pPr>
            <w:r>
              <w:rPr>
                <w:rFonts w:ascii="Times New Roman" w:hAnsi="Times New Roman" w:cs="Times New Roman" w:eastAsia="Times New Roman"/>
                <w:sz w:val="16"/>
                <w:u w:val="none"/>
                <w:b w:val="off"/>
                <w:i w:val="off"/>
                <w:strike w:val="off"/>
              </w:rPr>
              <w:t>69.20.10.000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Оказание услуг по осуществлению обязательного аудита ежегодной бухгалтерской (финансовой) отчетности за 12 месяцев 2024 года Пермского краевого государственного унитарного предприятия «Северные краевые электрические сети»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366</w:t>
            </w:r>
          </w:p>
        </w:tc>
        <w:tc>
          <w:tcPr>
            <w:vAlign w:val="center"/>
          </w:tcPr>
          <w:p>
            <w:pPr>
              <w:spacing w:after="0" w:before="0"/>
              <w:jc w:val="left"/>
            </w:pPr>
            <w:r>
              <w:rPr>
                <w:rFonts w:ascii="Times New Roman" w:hAnsi="Times New Roman" w:cs="Times New Roman" w:eastAsia="Times New Roman"/>
                <w:sz w:val="16"/>
                <w:u w:val="none"/>
                <w:b w:val="off"/>
                <w:i w:val="off"/>
                <w:strike w:val="off"/>
              </w:rPr>
              <w:t>Год</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Конкурс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66</w:t>
            </w: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оценке рыночной стоимости размера арендной платы за пользование недвижимым имуществом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879</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67</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208 236,66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68</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участка кабельной линии 6кВ от опоры № 22 ВЛ-6кВ ТП-34, методом горизонтально-направленного бурения, протяженностью 45м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742 030,86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69</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спецтехники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125,00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125,00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70</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для технологического присоединения энергопринимающих устройств потребителей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192 495,47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Верхоланцева В.Г., Усольский р-н, д. Березово №7, кадастровый номер 59:37:1550102:237</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780 848,39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двух КЛ-0,4кВ от ТП-156, для технологического присоединения энергопринимающих устройств потребителя ГКУ ПК «УКС Пермского края», г. Соликамск, ул. проспект Юбилейный, з/у 2, кадастровый номер земельного участка 59:10:0105017:334(Поликлиника)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4 531 908,10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ТП-144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3 235 435,80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ЭСК ГПП-1 в части объекта ТП-157 ВЛ-0,4 кВ ф. Свободы, ф. Большевистская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5 238 833,33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75</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127 400,00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аппаратов распределения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242 421,50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77</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Возмездное оказание услуг по испытанию и  отысканию места повреждения кабельных линий с возмещением расходов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290 970,00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78</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ТП-144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3 235 435,80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79</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трансформатора ТМГ-400/6/0,4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520 666,67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80</w:t>
            </w: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определению рыночной стоимости имущества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1 700 000,00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81</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1 624 000,00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- 406 000,00</w:t>
              <w:br/>
            </w:r>
            <w:r>
              <w:rPr>
                <w:rFonts w:ascii="Times New Roman" w:hAnsi="Times New Roman" w:cs="Times New Roman" w:eastAsia="Times New Roman"/>
                <w:sz w:val="16"/>
                <w:u w:val="none"/>
                <w:b w:val="off"/>
                <w:i w:val="off"/>
                <w:strike w:val="off"/>
              </w:rPr>
              <w:t>2026 г. - 1 218 000,00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82</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РП-1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337 518,48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83</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ТП-101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354 437,38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спецтехники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109,09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109,09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85</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заявкам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721 810,18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86</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42.22.22.140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1 049 817,01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87</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ТП-93</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579 673,94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88</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ТП-65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295 394,27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89</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ТП-102</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343 532,23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90</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ТП-205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283 144,84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bl>
    <w:p/>
    <w:tbl>
      <w:tblPr>
        <w:tblW w:w="0" w:type="auto"/>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ind w:hanging="1"/>
              <w:jc w:val="left"/>
            </w:pPr>
            <w:r>
              <w:rPr>
                <w:rFonts w:ascii="Times New Roman" w:hAnsi="Times New Roman" w:cs="Times New Roman" w:eastAsia="Times New Roman"/>
                <w:sz w:val="22"/>
                <w:u w:val="none"/>
                <w:b w:val="off"/>
                <w:i w:val="off"/>
                <w:strike w:val="off"/>
              </w:rPr>
              <w:t>Участие субъектов малого и среднего предпринимательства в закупках</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108 663 801,26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19 857 821,02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45 460 141,31 рублей (51,19 процентов).</w:t>
            </w:r>
          </w:p>
        </w:tc>
      </w:tr>
    </w:tbl>
    <w:p>
      <w:pPr>
        <w:pageBreakBefore w:val="on"/>
      </w:pPr>
    </w:p>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1 740 573,62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1 645 540,33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изделий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3 736 919,87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- 3 736 919,87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4 404 102,36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0,48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0,84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4 680,00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0,68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2,99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0,55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дистанционных дисплеев (пультов) для приборов учета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обуви и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616 384,32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960 000,00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- 240 000,00</w:t>
              <w:br/>
            </w:r>
            <w:r>
              <w:rPr>
                <w:rFonts w:ascii="Times New Roman" w:hAnsi="Times New Roman" w:cs="Times New Roman" w:eastAsia="Times New Roman"/>
                <w:sz w:val="16"/>
                <w:u w:val="none"/>
                <w:b w:val="off"/>
                <w:i w:val="off"/>
                <w:strike w:val="off"/>
              </w:rPr>
              <w:t>2026 г. - 720 000,00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107 435,17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сушильных шкафов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262 358,00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845 031,00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128 566,67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электротехнической арматуры и материалов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876 096,52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1 382,00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2 013,00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2 050,00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22.21.30.110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плит ПЗК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228 866,00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установки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1 264 831,20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гофрированных труб ПНД</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203 405,90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2 182 543,67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179 491,09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ВЛ-6 кВ отпайка от опоры №13, протяженностью трассы – 0,018 км с монтажом КТП-160/6-0,4 с установкой 3-х фазного прибора учета полукосвенного включения для технологического присоединения энергопринимающих устройств потребителя ИП Пискунова Юлия Юрьевна, г. Соликамск, ул. Пермская, з/у 95, кадастровый номер 59:10:0000000:5480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1 380 216,08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проходных полимерных изоляторов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106 583,19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энергопринимающих устройств потребителей (5 шт.)</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252 288,90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деталей узлов крепления опор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107 052,20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аварийно-восстановительных работ по восстановлению КЛ-10 кВ ТП-201-ТП-210, ввод № 1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179 328,97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24.10.4</w:t>
            </w:r>
          </w:p>
        </w:tc>
        <w:tc>
          <w:tcPr>
            <w:vAlign w:val="center"/>
          </w:tcPr>
          <w:p>
            <w:pPr>
              <w:spacing w:after="0" w:before="0"/>
              <w:jc w:val="left"/>
            </w:pPr>
            <w:r>
              <w:rPr>
                <w:rFonts w:ascii="Times New Roman" w:hAnsi="Times New Roman" w:cs="Times New Roman" w:eastAsia="Times New Roman"/>
                <w:sz w:val="16"/>
                <w:u w:val="none"/>
                <w:b w:val="off"/>
                <w:i w:val="off"/>
                <w:strike w:val="off"/>
              </w:rPr>
              <w:t>24.10.41.000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369 996,31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установке/замене однофазных, трехфазных приборов учета электроэнергии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1 094 671,80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67</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208 236,66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68</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участка кабельной линии 6кВ от опоры № 22 ВЛ-6кВ ТП-34, методом горизонтально-направленного бурения, протяженностью 45м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742 030,86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70</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для технологического присоединения энергопринимающих устройств потребителей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192 495,47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Верхоланцева В.Г., Усольский р-н, д. Березово №7, кадастровый номер 59:37:1550102:237</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780 848,39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двух КЛ-0,4кВ от ТП-156, для технологического присоединения энергопринимающих устройств потребителя ГКУ ПК «УКС Пермского края», г. Соликамск, ул. проспект Юбилейный, з/у 2, кадастровый номер земельного участка 59:10:0105017:334(Поликлиника)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4 531 908,10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ТП-144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3 235 435,80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ЭСК ГПП-1 в части объекта ТП-157 ВЛ-0,4 кВ ф. Свободы, ф. Большевистская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5 238 833,33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аппаратов распределения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242 421,50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79</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трансформатора ТМГ-400/6/0,4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520 666,67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81</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1 624 000,00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- 406 000,00</w:t>
              <w:br/>
            </w:r>
            <w:r>
              <w:rPr>
                <w:rFonts w:ascii="Times New Roman" w:hAnsi="Times New Roman" w:cs="Times New Roman" w:eastAsia="Times New Roman"/>
                <w:sz w:val="16"/>
                <w:u w:val="none"/>
                <w:b w:val="off"/>
                <w:i w:val="off"/>
                <w:strike w:val="off"/>
              </w:rPr>
              <w:t>2026 г. - 1 218 000,00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82</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РП-1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337 518,48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83</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ТП-101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354 437,38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85</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заявкам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721 810,18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86</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42.22.22.140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1 049 817,01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87</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ТП-93</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579 673,94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88</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ТП-65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295 394,27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89</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ТП-102</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343 532,23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90</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ТП-205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283 144,84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bl>
    <w:p>
      <w:pPr>
        <w:spacing w:after="0" w:before="0"/>
        <w:jc w:val="left"/>
      </w:pPr>
      <w:r>
        <w:rPr>
          <w:rFonts w:ascii="Times New Roman" w:hAnsi="Times New Roman" w:cs="Times New Roman" w:eastAsia="Times New Roman"/>
          <w:sz w:val="16"/>
          <w:u w:val="none"/>
          <w:b w:val="off"/>
          <w:i w:val="off"/>
          <w:strike w:val="off"/>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p>
    <w:p/>
    <w:tbl>
      <w:tblPr>
        <w:tblW w:w="0" w:type="auto"/>
        <w:tblBorders>
          <w:top w:val="single"/>
          <w:left w:val="single"/>
          <w:bottom w:val="single"/>
          <w:right w:val="single"/>
          <w:insideH w:val="single"/>
          <w:insideV w:val="single"/>
        </w:tblBorders>
      </w:tblPr>
      <w:tblPr>
        <w:tblBorders>
          <w:top w:val="none"/>
          <w:left w:val="none"/>
          <w:bottom w:val="none"/>
          <w:right w:val="none"/>
          <w:insideH w:val="none"/>
          <w:insideV w:val="none"/>
        </w:tblBorders>
      </w:tblPr>
      <w:tr>
        <w:tc>
          <w:tcPr>
            <w:tcBorders>
              <w:bottom w:val="single"/>
            </w:tcBorders>
            <w:vAlign w:val="center"/>
          </w:tcPr>
          <w:p>
            <w:pPr>
              <w:spacing w:after="0" w:before="0"/>
              <w:jc w:val="center"/>
            </w:pPr>
            <w:r>
              <w:rPr>
                <w:rFonts w:ascii="Times New Roman" w:hAnsi="Times New Roman" w:cs="Times New Roman" w:eastAsia="Times New Roman"/>
                <w:sz w:val="22"/>
                <w:u w:val="none"/>
                <w:b w:val="off"/>
                <w:i w:val="off"/>
                <w:strike w:val="off"/>
              </w:rPr>
              <w:t/>
            </w:r>
          </w:p>
        </w:tc>
        <w:tc>
          <w:p/>
        </w:tc>
        <w:tc>
          <w:tcPr>
            <w:vAlign w:val="center"/>
          </w:tcPr>
          <w:p>
            <w:pPr>
              <w:spacing w:after="0" w:before="0"/>
              <w:jc w:val="center"/>
            </w:pPr>
            <w:r>
              <w:rPr>
                <w:rFonts w:ascii="Times New Roman" w:hAnsi="Times New Roman" w:cs="Times New Roman" w:eastAsia="Times New Roman"/>
                <w:sz w:val="22"/>
                <w:u w:val="none"/>
                <w:b w:val="off"/>
                <w:i w:val="off"/>
                <w:strike w:val="off"/>
              </w:rPr>
              <w:t>«__»__________ 20__ г.</w:t>
            </w:r>
          </w:p>
        </w:tc>
      </w:tr>
      <w:tr>
        <w:tc>
          <w:tcPr>
            <w:vAlign w:val="top"/>
          </w:tcPr>
          <w:p>
            <w:pPr>
              <w:spacing w:after="0" w:before="0"/>
              <w:jc w:val="center"/>
            </w:pPr>
            <w:r>
              <w:rPr>
                <w:rFonts w:ascii="Times New Roman" w:hAnsi="Times New Roman" w:cs="Times New Roman" w:eastAsia="Times New Roman"/>
                <w:sz w:val="16"/>
                <w:u w:val="none"/>
                <w:b w:val="off"/>
                <w:i w:val="off"/>
                <w:strike w:val="off"/>
              </w:rPr>
              <w:t>(Ф.И.О., Должность руководителя (уполномоченного лица) заказчика)</w:t>
            </w:r>
          </w:p>
        </w:tc>
        <w:tc>
          <w:p/>
        </w:tc>
        <w:tc>
          <w:tcPr>
            <w:vAlign w:val="top"/>
          </w:tcPr>
          <w:p>
            <w:pPr>
              <w:spacing w:after="0" w:before="0"/>
              <w:jc w:val="center"/>
            </w:pPr>
            <w:r>
              <w:rPr>
                <w:rFonts w:ascii="Times New Roman" w:hAnsi="Times New Roman" w:cs="Times New Roman" w:eastAsia="Times New Roman"/>
                <w:sz w:val="16"/>
                <w:u w:val="none"/>
                <w:b w:val="off"/>
                <w:i w:val="off"/>
                <w:strike w:val="off"/>
              </w:rPr>
              <w:t>(Дата утверждения)</w:t>
            </w:r>
          </w:p>
        </w:tc>
      </w:tr>
    </w:tbl>
    <w:sectPr>
      <w:pgSz w:orient="landscape" w:w="16840" w:h="11900"/>
      <w:pgMar w:top="570" w:bottom="570" w:left="570" w:right="570"/>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2025-08-07T07:02:52Z</dcterms:created>
  <dc:creator>Apache POI</dc:creator>
</cp:coreProperties>
</file>